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color w:val="00206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2060"/>
          <w:sz w:val="36"/>
          <w:szCs w:val="36"/>
        </w:rPr>
        <w:t>秉烛书社系列书单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color w:val="002060"/>
          <w:sz w:val="36"/>
          <w:szCs w:val="36"/>
        </w:rPr>
        <w:t>第三期（202</w:t>
      </w:r>
      <w:r>
        <w:rPr>
          <w:rFonts w:ascii="微软雅黑" w:hAnsi="微软雅黑" w:eastAsia="微软雅黑"/>
          <w:color w:val="002060"/>
          <w:sz w:val="36"/>
          <w:szCs w:val="36"/>
        </w:rPr>
        <w:t>3.01.29</w:t>
      </w:r>
      <w:r>
        <w:rPr>
          <w:rFonts w:hint="eastAsia" w:ascii="微软雅黑" w:hAnsi="微软雅黑" w:eastAsia="微软雅黑"/>
          <w:color w:val="002060"/>
          <w:sz w:val="36"/>
          <w:szCs w:val="36"/>
        </w:rPr>
        <w:t>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中国社会科学院大学应用经济学院  金融专硕中心</w:t>
      </w:r>
    </w:p>
    <w:p/>
    <w:p/>
    <w:p>
      <w:pPr>
        <w:rPr>
          <w:rFonts w:ascii="隶书" w:hAnsi="仿宋" w:eastAsia="隶书"/>
          <w:sz w:val="32"/>
          <w:szCs w:val="32"/>
        </w:rPr>
      </w:pPr>
      <w:r>
        <w:rPr>
          <w:rFonts w:hint="eastAsia" w:ascii="隶书" w:hAnsi="仿宋" w:eastAsia="隶书"/>
          <w:sz w:val="32"/>
          <w:szCs w:val="32"/>
        </w:rPr>
        <w:t>尹振涛老师推荐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黄卓、王海明、沈艳、谢绚丽著.金融科技的中国时代：数字金融12讲[</w:t>
      </w:r>
      <w:r>
        <w:rPr>
          <w:rFonts w:ascii="仿宋" w:hAnsi="仿宋" w:eastAsia="仿宋"/>
          <w:sz w:val="28"/>
          <w:szCs w:val="28"/>
        </w:rPr>
        <w:t>M]</w:t>
      </w:r>
      <w:r>
        <w:rPr>
          <w:rFonts w:hint="eastAsia" w:ascii="仿宋" w:hAnsi="仿宋" w:eastAsia="仿宋"/>
          <w:sz w:val="28"/>
          <w:szCs w:val="28"/>
        </w:rPr>
        <w:t>.中国人民大学出版社,2017年.</w:t>
      </w:r>
    </w:p>
    <w:p>
      <w:r>
        <w:drawing>
          <wp:inline distT="0" distB="0" distL="0" distR="0">
            <wp:extent cx="1614170" cy="216535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9470" cy="219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内容简介：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金融科技的中国时代：数字金融12讲》收录了万建华、纪志宏、李文红、姚前等12位来自业界、学界及政府的权威专家的观点，从数字金融的实践与创新、发展与监管，以及大数据征信等方面，多维度、多视角地分析了中国数字金融行业的发展现状和未来趋势，同时特别探讨了“智能投顾”、“</w:t>
      </w:r>
      <w:r>
        <w:fldChar w:fldCharType="begin"/>
      </w:r>
      <w:r>
        <w:instrText xml:space="preserve"> HYPERLINK "https://baike.baidu.com/item/%E6%95%B0%E5%AD%97%E8%B4%A7%E5%B8%81/8159530?fromModule=lemma_inlink"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数字货币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”、 “区块链”、“消费金融”等热门领域未来可能的发展机遇以及风险和挑战。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徐忠、邹传伟著.金融科技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前沿与趋势[</w:t>
      </w:r>
      <w:r>
        <w:rPr>
          <w:rFonts w:ascii="仿宋" w:hAnsi="仿宋" w:eastAsia="仿宋"/>
          <w:sz w:val="28"/>
          <w:szCs w:val="28"/>
        </w:rPr>
        <w:t>M]</w:t>
      </w:r>
      <w:r>
        <w:rPr>
          <w:rFonts w:hint="eastAsia" w:ascii="仿宋" w:hAnsi="仿宋" w:eastAsia="仿宋"/>
          <w:sz w:val="28"/>
          <w:szCs w:val="28"/>
        </w:rPr>
        <w:t>.中信出版社,2021年.</w:t>
      </w:r>
    </w:p>
    <w:p>
      <w:r>
        <w:drawing>
          <wp:inline distT="0" distB="0" distL="0" distR="0">
            <wp:extent cx="1612265" cy="2166620"/>
            <wp:effectExtent l="0" t="0" r="6985" b="508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21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内容简介：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随着金融科技的快速发展，尤其央行数字货币的推进，金融科技已成为各国监管者、金融从业者和学术研究者普遍关注且深入讨论的领域。本书从身份、账户、数据、货币、风险和竞争等基本概念出发，建构金融科技及其监管的新分析框架，深入揭示金融科技创新发展的内在逻辑。在此基础上，站在金融科技的最前沿，对金融科技的未来发展进行探究，主要包括金融科技发展趋势、金融科技的基础设施与核心要素、辩证地理解金融科技与普惠金融、区块链这一金融科技的核心议题、数字货币变革以及监管科技的未来挑战六方面内容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隶书" w:hAnsi="仿宋" w:eastAsia="隶书"/>
          <w:sz w:val="32"/>
          <w:szCs w:val="32"/>
        </w:rPr>
      </w:pPr>
      <w:r>
        <w:rPr>
          <w:rFonts w:hint="eastAsia" w:ascii="隶书" w:hAnsi="仿宋" w:eastAsia="隶书"/>
          <w:sz w:val="32"/>
          <w:szCs w:val="32"/>
        </w:rPr>
        <w:t>胡吉亚老师推荐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 xml:space="preserve"> </w:t>
      </w:r>
      <w:r>
        <w:fldChar w:fldCharType="begin"/>
      </w:r>
      <w:r>
        <w:instrText xml:space="preserve"> HYPERLINK "https://book.jd.com/writer/%E6%B2%88%E6%98%A5%E6%99%96_1.html"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沈春晖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著</w:t>
      </w:r>
      <w:r>
        <w:rPr>
          <w:rFonts w:hint="eastAsia" w:ascii="仿宋" w:hAnsi="仿宋" w:eastAsia="仿宋"/>
          <w:sz w:val="28"/>
          <w:szCs w:val="28"/>
        </w:rPr>
        <w:t>.一本书看透IPO：</w:t>
      </w:r>
      <w:r>
        <w:rPr>
          <w:rFonts w:ascii="仿宋" w:hAnsi="仿宋" w:eastAsia="仿宋"/>
          <w:sz w:val="28"/>
          <w:szCs w:val="28"/>
        </w:rPr>
        <w:t>A股IPO全流程深度剖析</w:t>
      </w:r>
      <w:r>
        <w:rPr>
          <w:rFonts w:hint="eastAsia" w:ascii="仿宋" w:hAnsi="仿宋" w:eastAsia="仿宋"/>
          <w:sz w:val="28"/>
          <w:szCs w:val="28"/>
        </w:rPr>
        <w:t>[</w:t>
      </w:r>
      <w:r>
        <w:rPr>
          <w:rFonts w:ascii="仿宋" w:hAnsi="仿宋" w:eastAsia="仿宋"/>
          <w:sz w:val="28"/>
          <w:szCs w:val="28"/>
        </w:rPr>
        <w:t>M].</w:t>
      </w:r>
      <w:r>
        <w:fldChar w:fldCharType="begin"/>
      </w:r>
      <w:r>
        <w:instrText xml:space="preserve"> HYPERLINK "https://book.jd.com/publish/%E6%9C%BA%E6%A2%B0%E5%B7%A5%E4%B8%9A%E5%87%BA%E7%89%88%E7%A4%BE_1.html" \t "_blank" \o "机械工业出版社"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机械工业出版社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,2018年.</w:t>
      </w:r>
    </w:p>
    <w:p>
      <w:r>
        <w:drawing>
          <wp:inline distT="0" distB="0" distL="0" distR="0">
            <wp:extent cx="1612265" cy="2166620"/>
            <wp:effectExtent l="0" t="0" r="6985" b="508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21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内容简介：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《一本书看透IPO：</w:t>
      </w:r>
      <w:r>
        <w:rPr>
          <w:rFonts w:ascii="仿宋" w:hAnsi="仿宋" w:eastAsia="仿宋"/>
          <w:sz w:val="28"/>
          <w:szCs w:val="28"/>
        </w:rPr>
        <w:t>A股IPO全流程深度剖析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ascii="仿宋" w:hAnsi="仿宋" w:eastAsia="仿宋"/>
          <w:sz w:val="28"/>
          <w:szCs w:val="28"/>
        </w:rPr>
        <w:t>来自作者18年实际从业经验和研究心得，分六个部分详细介绍A股IPO的全貌。第一部分常识性地介绍上市的本质、A股上市的方式等，并分析当前A股IPO面临的机遇；第二部分分析是否在A股IPO上市的八个主要决策因素；第三部分详细分析在A股IPO上市的全流程；第四部分分析目前A股IPO的审核方式、理念，主要的财务与非财务审核因素；第五部分介绍新三板挂牌及转板A股IPO；第六部分介绍未来将要实施的注册制，包括步骤、影响及对策等。本书既包括从实务出发对上市流程和操作的详细分析，也包括对相关法规、政策和业务经验的具体介绍，还结合大量实务案例进行了精心分析和梳理，是投行、投资界专业人士，企业管理者、财务人员，学术研究人员及对经管有兴趣的社会公众开展IPO工作、了解IPO业务的必备工具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 xml:space="preserve"> [美]</w:t>
      </w:r>
      <w:r>
        <w:fldChar w:fldCharType="begin"/>
      </w:r>
      <w:r>
        <w:instrText xml:space="preserve"> HYPERLINK "https://book.jd.com/writer/%E5%B8%83%E8%B5%96%E6%81%A9%C2%B7%E4%BC%AF%E5%8B%92_1.html"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布赖恩·伯勒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（</w:t>
      </w:r>
      <w:r>
        <w:fldChar w:fldCharType="begin"/>
      </w:r>
      <w:r>
        <w:instrText xml:space="preserve"> HYPERLINK "https://book.jd.com/writer/Bryan%20Burrough_1.html"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Bryan Burrough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、</w:t>
      </w:r>
      <w:r>
        <w:fldChar w:fldCharType="begin"/>
      </w:r>
      <w:r>
        <w:instrText xml:space="preserve"> HYPERLINK "https://book.jd.com/writer/%E6%AC%A7%E6%96%87%C2%B7%E6%B2%83%E5%85%8B%EF%BC%88Owen%20Walker%EF%BC%89%20_1.html"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欧文·沃克（Owen Walker）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、</w:t>
      </w:r>
      <w:r>
        <w:fldChar w:fldCharType="begin"/>
      </w:r>
      <w:r>
        <w:instrText xml:space="preserve"> HYPERLINK "https://book.jd.com/writer/%E4%B9%94%E6%B2%BB.%E5%AE%89%E5%BE%B7%E6%96%AF_1.html"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乔治.安德斯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（</w:t>
      </w:r>
      <w:r>
        <w:fldChar w:fldCharType="begin"/>
      </w:r>
      <w:r>
        <w:instrText xml:space="preserve"> HYPERLINK "https://book.jd.com/writer/George%20Anders_1.html"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George Anders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）著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门口的野蛮人</w:t>
      </w:r>
      <w:r>
        <w:rPr>
          <w:rFonts w:hint="eastAsia" w:ascii="仿宋" w:hAnsi="仿宋" w:eastAsia="仿宋"/>
          <w:sz w:val="28"/>
          <w:szCs w:val="28"/>
        </w:rPr>
        <w:t>[</w:t>
      </w:r>
      <w:r>
        <w:rPr>
          <w:rFonts w:ascii="仿宋" w:hAnsi="仿宋" w:eastAsia="仿宋"/>
          <w:sz w:val="28"/>
          <w:szCs w:val="28"/>
        </w:rPr>
        <w:t>M].</w:t>
      </w:r>
      <w:r>
        <w:fldChar w:fldCharType="begin"/>
      </w:r>
      <w:r>
        <w:instrText xml:space="preserve"> HYPERLINK "https://book.jd.com/publish/%E6%9C%BA%E6%A2%B0%E5%B7%A5%E4%B8%9A%E5%87%BA%E7%89%88%E7%A4%BE_1.html" \t "_blank" \o "机械工业出版社"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机械工业出版社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,2018年</w:t>
      </w:r>
      <w:r>
        <w:rPr>
          <w:rFonts w:ascii="仿宋" w:hAnsi="仿宋" w:eastAsia="仿宋"/>
          <w:sz w:val="28"/>
          <w:szCs w:val="28"/>
        </w:rPr>
        <w:t>.</w:t>
      </w:r>
    </w:p>
    <w:p>
      <w:r>
        <w:drawing>
          <wp:inline distT="0" distB="0" distL="0" distR="0">
            <wp:extent cx="1612265" cy="2166620"/>
            <wp:effectExtent l="0" t="0" r="6985" b="508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21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内容简介：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ascii="仿宋" w:hAnsi="仿宋" w:eastAsia="仿宋"/>
          <w:sz w:val="28"/>
          <w:szCs w:val="28"/>
        </w:rPr>
        <w:t>门口的野蛮人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ascii="仿宋" w:hAnsi="仿宋" w:eastAsia="仿宋"/>
          <w:sz w:val="28"/>
          <w:szCs w:val="28"/>
        </w:rPr>
        <w:t>详细地介绍了美国历史很为出名的股权</w:t>
      </w:r>
      <w:r>
        <w:rPr>
          <w:rFonts w:hint="eastAsia" w:ascii="仿宋" w:hAnsi="仿宋" w:eastAsia="仿宋"/>
          <w:sz w:val="28"/>
          <w:szCs w:val="28"/>
        </w:rPr>
        <w:t>战争</w:t>
      </w:r>
      <w:r>
        <w:rPr>
          <w:rFonts w:ascii="仿宋" w:hAnsi="仿宋" w:eastAsia="仿宋"/>
          <w:sz w:val="28"/>
          <w:szCs w:val="28"/>
        </w:rPr>
        <w:t>，KKR对雷诺兹-纳贝斯克的收购战。1987年的股灾引发了雷诺兹-纳贝斯克公司股价的下滑，而KKR抓住时机，发起了对其的收购。为了保住自己的位置与财富，雷诺兹-纳贝斯克高管则联合了另一位“野蛮人”介入双方的冲突……短短几个月的时间，股价从53美元暴涨至120美元，背后美林、高盛、雷曼、所罗门兄弟、花旗银行、摩根士丹利、贝尔斯登，甚至股神巴菲特都卷入其中。而被牵扯的公司则有美国运通、百事可乐、宝洁、麦肯锡等。一场资本市场轰轰烈烈的“权力游戏”，一曲我们时代的“冰与火之歌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74"/>
    <w:rsid w:val="000D74F5"/>
    <w:rsid w:val="00187E95"/>
    <w:rsid w:val="001E5DDB"/>
    <w:rsid w:val="00215A7C"/>
    <w:rsid w:val="002B682B"/>
    <w:rsid w:val="00345C0C"/>
    <w:rsid w:val="0036464B"/>
    <w:rsid w:val="003D6DB5"/>
    <w:rsid w:val="0046685D"/>
    <w:rsid w:val="005D2AAA"/>
    <w:rsid w:val="00605009"/>
    <w:rsid w:val="006A1D4A"/>
    <w:rsid w:val="00767FBB"/>
    <w:rsid w:val="00803094"/>
    <w:rsid w:val="008D19C1"/>
    <w:rsid w:val="00945CF1"/>
    <w:rsid w:val="009816E3"/>
    <w:rsid w:val="009E2932"/>
    <w:rsid w:val="009F4B90"/>
    <w:rsid w:val="00A733C3"/>
    <w:rsid w:val="00A946C5"/>
    <w:rsid w:val="00AF494F"/>
    <w:rsid w:val="00BD03B2"/>
    <w:rsid w:val="00D04709"/>
    <w:rsid w:val="00D17B54"/>
    <w:rsid w:val="00D60774"/>
    <w:rsid w:val="00D62E18"/>
    <w:rsid w:val="00E110B1"/>
    <w:rsid w:val="00F00E74"/>
    <w:rsid w:val="00F0346D"/>
    <w:rsid w:val="00F066BB"/>
    <w:rsid w:val="00F21E07"/>
    <w:rsid w:val="00F307C5"/>
    <w:rsid w:val="00FA68FF"/>
    <w:rsid w:val="09410F65"/>
    <w:rsid w:val="177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1234</Words>
  <Characters>1342</Characters>
  <Lines>17</Lines>
  <Paragraphs>4</Paragraphs>
  <TotalTime>52</TotalTime>
  <ScaleCrop>false</ScaleCrop>
  <LinksUpToDate>false</LinksUpToDate>
  <CharactersWithSpaces>1352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2023-01-29T06:18:00Z</dcterms:created>
  <dc:creator>胡吉亚</dc:creator>
  <cp:lastModifiedBy>不及你</cp:lastModifiedBy>
  <cp:lastPrinted>2022-10-20T09:29:00Z</cp:lastPrinted>
  <dcterms:modified xsi:type="dcterms:W3CDTF">2023-02-06T05:20:28Z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1E5AC7147FD74D16B17C0768210153AC</vt:lpwstr>
  </property>
</Properties>
</file>